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B8D69" w14:textId="100308CE" w:rsidR="007D712B" w:rsidRDefault="007536FF" w:rsidP="007D712B">
      <w:pPr>
        <w:pStyle w:val="Heading1"/>
        <w:rPr>
          <w:lang w:val="sv-SE"/>
        </w:rPr>
      </w:pPr>
      <w:r>
        <w:rPr>
          <w:lang w:val="sv-SE"/>
        </w:rPr>
        <w:t>CLEAR M</w:t>
      </w:r>
      <w:r w:rsidR="002A2849">
        <w:rPr>
          <w:lang w:val="sv-SE"/>
        </w:rPr>
        <w:t xml:space="preserve">odel </w:t>
      </w:r>
    </w:p>
    <w:p w14:paraId="4907E718" w14:textId="5C38D89F" w:rsidR="002A2849" w:rsidRDefault="00DF29AF" w:rsidP="007D712B">
      <w:pPr>
        <w:pStyle w:val="Heading1"/>
        <w:jc w:val="center"/>
        <w:rPr>
          <w:lang w:val="sv-SE"/>
        </w:rPr>
      </w:pPr>
      <w:r w:rsidRPr="00DF29AF">
        <w:rPr>
          <w:lang w:val="sv-SE"/>
        </w:rPr>
        <w:drawing>
          <wp:inline distT="0" distB="0" distL="0" distR="0" wp14:anchorId="0BDB3DE2" wp14:editId="788BD15A">
            <wp:extent cx="2228850" cy="1671638"/>
            <wp:effectExtent l="38100" t="57150" r="38100" b="431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0842" cy="1688132"/>
                    </a:xfrm>
                    <a:prstGeom prst="rect">
                      <a:avLst/>
                    </a:prstGeom>
                    <a:scene3d>
                      <a:camera prst="orthographicFront"/>
                      <a:lightRig rig="threePt" dir="t"/>
                    </a:scene3d>
                    <a:sp3d>
                      <a:bevelT/>
                    </a:sp3d>
                  </pic:spPr>
                </pic:pic>
              </a:graphicData>
            </a:graphic>
          </wp:inline>
        </w:drawing>
      </w:r>
    </w:p>
    <w:p w14:paraId="3142BA28" w14:textId="66FC19CE" w:rsidR="002A2849" w:rsidRDefault="002A2849" w:rsidP="002A2849">
      <w:pPr>
        <w:pStyle w:val="LD-Normal"/>
        <w:rPr>
          <w:lang w:eastAsia="en-GB"/>
        </w:rPr>
      </w:pPr>
      <w:r w:rsidRPr="002A2849">
        <w:rPr>
          <w:lang w:eastAsia="en-GB"/>
        </w:rPr>
        <w:t xml:space="preserve">The CLEAR model was developed by Peter Hawkins in the early 80’s as a process for coaching. It is also applicable and well-tried within a supervision environment. CLEAR an acronym for </w:t>
      </w:r>
      <w:r w:rsidRPr="002A2849">
        <w:rPr>
          <w:b/>
          <w:bCs/>
          <w:lang w:eastAsia="en-GB"/>
        </w:rPr>
        <w:t>C</w:t>
      </w:r>
      <w:r w:rsidRPr="002A2849">
        <w:rPr>
          <w:lang w:eastAsia="en-GB"/>
        </w:rPr>
        <w:t xml:space="preserve">ontracting; </w:t>
      </w:r>
      <w:r w:rsidRPr="002A2849">
        <w:rPr>
          <w:b/>
          <w:bCs/>
          <w:lang w:eastAsia="en-GB"/>
        </w:rPr>
        <w:t>L</w:t>
      </w:r>
      <w:r w:rsidRPr="002A2849">
        <w:rPr>
          <w:lang w:eastAsia="en-GB"/>
        </w:rPr>
        <w:t xml:space="preserve">istening; </w:t>
      </w:r>
      <w:r w:rsidRPr="002A2849">
        <w:rPr>
          <w:b/>
          <w:bCs/>
          <w:lang w:eastAsia="en-GB"/>
        </w:rPr>
        <w:t>E</w:t>
      </w:r>
      <w:r w:rsidRPr="002A2849">
        <w:rPr>
          <w:lang w:eastAsia="en-GB"/>
        </w:rPr>
        <w:t xml:space="preserve">xploring; </w:t>
      </w:r>
      <w:r w:rsidRPr="002A2849">
        <w:rPr>
          <w:b/>
          <w:bCs/>
          <w:lang w:eastAsia="en-GB"/>
        </w:rPr>
        <w:t>A</w:t>
      </w:r>
      <w:r w:rsidRPr="002A2849">
        <w:rPr>
          <w:lang w:eastAsia="en-GB"/>
        </w:rPr>
        <w:t xml:space="preserve">ction; </w:t>
      </w:r>
      <w:r w:rsidRPr="002A2849">
        <w:rPr>
          <w:b/>
          <w:bCs/>
          <w:lang w:eastAsia="en-GB"/>
        </w:rPr>
        <w:t>R</w:t>
      </w:r>
      <w:r w:rsidRPr="002A2849">
        <w:rPr>
          <w:lang w:eastAsia="en-GB"/>
        </w:rPr>
        <w:t>eview. It is not dissimilar to the GROW model (another well-known coaching model) although it includes additional elements.</w:t>
      </w:r>
    </w:p>
    <w:p w14:paraId="3CB88B93" w14:textId="77777777" w:rsidR="002A2849" w:rsidRPr="002A2849" w:rsidRDefault="002A2849" w:rsidP="002A2849">
      <w:pPr>
        <w:pStyle w:val="LD-Normal"/>
        <w:rPr>
          <w:lang w:eastAsia="en-GB"/>
        </w:rPr>
      </w:pPr>
    </w:p>
    <w:p w14:paraId="67EC577C" w14:textId="77777777" w:rsidR="002A2849" w:rsidRPr="002A2849" w:rsidRDefault="002A2849" w:rsidP="002A2849">
      <w:pPr>
        <w:pStyle w:val="LD-Normal"/>
        <w:rPr>
          <w:b/>
          <w:lang w:eastAsia="en-GB"/>
        </w:rPr>
      </w:pPr>
      <w:r w:rsidRPr="002A2849">
        <w:rPr>
          <w:b/>
          <w:bCs/>
          <w:color w:val="548DD4" w:themeColor="text2" w:themeTint="99"/>
          <w:lang w:eastAsia="en-GB"/>
        </w:rPr>
        <w:t>C</w:t>
      </w:r>
      <w:r w:rsidRPr="002A2849">
        <w:rPr>
          <w:b/>
          <w:lang w:eastAsia="en-GB"/>
        </w:rPr>
        <w:t xml:space="preserve">ONTRACTING </w:t>
      </w:r>
    </w:p>
    <w:p w14:paraId="70E530C5" w14:textId="7661606D" w:rsidR="002A2849" w:rsidRDefault="002A2849" w:rsidP="002A2849">
      <w:pPr>
        <w:pStyle w:val="LD-Normal"/>
        <w:rPr>
          <w:lang w:eastAsia="en-GB"/>
        </w:rPr>
      </w:pPr>
      <w:r w:rsidRPr="002A2849">
        <w:rPr>
          <w:lang w:eastAsia="en-GB"/>
        </w:rPr>
        <w:t>Contracting is an opportunity to set the ground rules for working together and establishing the outcomes and priorities wanted by both supervisor and supervisee.  If this is an initial meeting this step will be probably be extended to ensure the understanding and signing of a written supervision agreement or contract and explanation of the standard agenda (if used).</w:t>
      </w:r>
    </w:p>
    <w:p w14:paraId="21AE7483" w14:textId="77777777" w:rsidR="002A2849" w:rsidRPr="002A2849" w:rsidRDefault="002A2849" w:rsidP="002A2849">
      <w:pPr>
        <w:pStyle w:val="LD-Normal"/>
        <w:rPr>
          <w:lang w:eastAsia="en-GB"/>
        </w:rPr>
      </w:pPr>
    </w:p>
    <w:p w14:paraId="238CF805" w14:textId="77777777" w:rsidR="002A2849" w:rsidRPr="002A2849" w:rsidRDefault="002A2849" w:rsidP="002A2849">
      <w:pPr>
        <w:pStyle w:val="LD-Normal"/>
        <w:rPr>
          <w:b/>
          <w:lang w:eastAsia="en-GB"/>
        </w:rPr>
      </w:pPr>
      <w:r w:rsidRPr="002A2849">
        <w:rPr>
          <w:b/>
          <w:bCs/>
          <w:color w:val="548DD4" w:themeColor="text2" w:themeTint="99"/>
          <w:lang w:eastAsia="en-GB"/>
        </w:rPr>
        <w:t>L</w:t>
      </w:r>
      <w:r w:rsidRPr="002A2849">
        <w:rPr>
          <w:b/>
          <w:lang w:eastAsia="en-GB"/>
        </w:rPr>
        <w:t xml:space="preserve">ISTENING </w:t>
      </w:r>
    </w:p>
    <w:p w14:paraId="7213946E" w14:textId="77777777" w:rsidR="002A2849" w:rsidRDefault="002A2849" w:rsidP="002A2849">
      <w:pPr>
        <w:pStyle w:val="LD-Normal"/>
        <w:rPr>
          <w:lang w:eastAsia="en-GB"/>
        </w:rPr>
      </w:pPr>
      <w:r w:rsidRPr="002A2849">
        <w:rPr>
          <w:lang w:eastAsia="en-GB"/>
        </w:rPr>
        <w:t xml:space="preserve">This stage is all about actively listening to your supervisee. Helping them to gain an understanding of their situation in relation to the standards, priorities and tasks required. </w:t>
      </w:r>
    </w:p>
    <w:p w14:paraId="22CCB0FC" w14:textId="77777777" w:rsidR="002A2849" w:rsidRPr="002A2849" w:rsidRDefault="002A2849" w:rsidP="002A2849">
      <w:pPr>
        <w:pStyle w:val="LD-Normal"/>
        <w:rPr>
          <w:color w:val="FF0000"/>
          <w:lang w:eastAsia="en-GB"/>
        </w:rPr>
      </w:pPr>
    </w:p>
    <w:p w14:paraId="74323E23" w14:textId="77777777" w:rsidR="002A2849" w:rsidRDefault="002A2849" w:rsidP="002A2849">
      <w:pPr>
        <w:pStyle w:val="LD-Normal"/>
        <w:rPr>
          <w:b/>
          <w:lang w:eastAsia="en-GB"/>
        </w:rPr>
      </w:pPr>
      <w:r w:rsidRPr="002A2849">
        <w:rPr>
          <w:b/>
          <w:bCs/>
          <w:color w:val="548DD4" w:themeColor="text2" w:themeTint="99"/>
          <w:lang w:eastAsia="en-GB"/>
        </w:rPr>
        <w:t>E</w:t>
      </w:r>
      <w:r w:rsidRPr="002A2849">
        <w:rPr>
          <w:b/>
          <w:lang w:eastAsia="en-GB"/>
        </w:rPr>
        <w:t>XPLORING</w:t>
      </w:r>
    </w:p>
    <w:p w14:paraId="4686C06C" w14:textId="77777777" w:rsidR="002A2849" w:rsidRPr="002A2849" w:rsidRDefault="002A2849" w:rsidP="002A2849">
      <w:pPr>
        <w:pStyle w:val="LD-Normal"/>
        <w:rPr>
          <w:lang w:eastAsia="en-GB"/>
        </w:rPr>
      </w:pPr>
      <w:r w:rsidRPr="002A2849">
        <w:rPr>
          <w:lang w:eastAsia="en-GB"/>
        </w:rPr>
        <w:t>This stage comprises two elements:</w:t>
      </w:r>
    </w:p>
    <w:p w14:paraId="3A90C4E1" w14:textId="77777777" w:rsidR="002A2849" w:rsidRPr="002A2849" w:rsidRDefault="002A2849" w:rsidP="002A2849">
      <w:pPr>
        <w:pStyle w:val="LD-Normal"/>
        <w:rPr>
          <w:lang w:eastAsia="en-GB"/>
        </w:rPr>
      </w:pPr>
      <w:r w:rsidRPr="002A2849">
        <w:rPr>
          <w:b/>
          <w:bCs/>
          <w:lang w:eastAsia="en-GB"/>
        </w:rPr>
        <w:t>Exploring 1:</w:t>
      </w:r>
      <w:r w:rsidRPr="002A2849">
        <w:rPr>
          <w:lang w:eastAsia="en-GB"/>
        </w:rPr>
        <w:t xml:space="preserve"> Helping the supervisee to understand the impact of their performance, both positive and negative, and the effects on themselves, both personally and professionally. </w:t>
      </w:r>
    </w:p>
    <w:p w14:paraId="5EDDB6D1" w14:textId="77777777" w:rsidR="002A2849" w:rsidRDefault="002A2849" w:rsidP="002A2849">
      <w:pPr>
        <w:pStyle w:val="LD-Normal"/>
        <w:rPr>
          <w:lang w:eastAsia="en-GB"/>
        </w:rPr>
      </w:pPr>
      <w:r w:rsidRPr="002A2849">
        <w:rPr>
          <w:b/>
          <w:bCs/>
          <w:lang w:eastAsia="en-GB"/>
        </w:rPr>
        <w:t xml:space="preserve">Exploring 2: </w:t>
      </w:r>
      <w:r w:rsidRPr="002A2849">
        <w:rPr>
          <w:lang w:eastAsia="en-GB"/>
        </w:rPr>
        <w:t>Challenging the supervisee to think through possibilities for future action in resolving the situation or developing their practice.</w:t>
      </w:r>
    </w:p>
    <w:p w14:paraId="3496127C" w14:textId="77777777" w:rsidR="002A2849" w:rsidRPr="002A2849" w:rsidRDefault="002A2849" w:rsidP="002A2849">
      <w:pPr>
        <w:pStyle w:val="LD-Normal"/>
        <w:rPr>
          <w:lang w:eastAsia="en-GB"/>
        </w:rPr>
      </w:pPr>
    </w:p>
    <w:p w14:paraId="7ABB49E9" w14:textId="77777777" w:rsidR="002A2849" w:rsidRPr="002A2849" w:rsidRDefault="002A2849" w:rsidP="002A2849">
      <w:pPr>
        <w:pStyle w:val="LD-Normal"/>
        <w:rPr>
          <w:b/>
          <w:lang w:eastAsia="en-GB"/>
        </w:rPr>
      </w:pPr>
      <w:r w:rsidRPr="002A2849">
        <w:rPr>
          <w:b/>
          <w:bCs/>
          <w:color w:val="548DD4" w:themeColor="text2" w:themeTint="99"/>
          <w:lang w:eastAsia="en-GB"/>
        </w:rPr>
        <w:t>A</w:t>
      </w:r>
      <w:r w:rsidRPr="002A2849">
        <w:rPr>
          <w:b/>
          <w:lang w:eastAsia="en-GB"/>
        </w:rPr>
        <w:t xml:space="preserve">CTION </w:t>
      </w:r>
    </w:p>
    <w:p w14:paraId="7E0F759D" w14:textId="77777777" w:rsidR="002A2849" w:rsidRPr="002A2849" w:rsidRDefault="002A2849" w:rsidP="002A2849">
      <w:pPr>
        <w:pStyle w:val="LD-Normal"/>
        <w:rPr>
          <w:lang w:eastAsia="en-GB"/>
        </w:rPr>
      </w:pPr>
      <w:r w:rsidRPr="002A2849">
        <w:rPr>
          <w:lang w:eastAsia="en-GB"/>
        </w:rPr>
        <w:t>At this stage you are supporting the supervisee to choose a way ahead, and decide the next steps within the context of the standards, priorities and plans which inform their role.</w:t>
      </w:r>
      <w:bookmarkStart w:id="0" w:name="_GoBack"/>
      <w:bookmarkEnd w:id="0"/>
    </w:p>
    <w:p w14:paraId="321FFF8C" w14:textId="77777777" w:rsidR="002A2849" w:rsidRPr="002A2849" w:rsidRDefault="002A2849" w:rsidP="002A2849">
      <w:pPr>
        <w:pStyle w:val="LD-Normal"/>
        <w:rPr>
          <w:lang w:eastAsia="en-GB"/>
        </w:rPr>
      </w:pPr>
    </w:p>
    <w:p w14:paraId="505DA2B1" w14:textId="77777777" w:rsidR="00651F62" w:rsidRDefault="002A2849" w:rsidP="00651F62">
      <w:pPr>
        <w:pStyle w:val="LD-Normal"/>
        <w:rPr>
          <w:b/>
          <w:lang w:eastAsia="en-GB"/>
        </w:rPr>
      </w:pPr>
      <w:r w:rsidRPr="002A2849">
        <w:rPr>
          <w:b/>
          <w:bCs/>
          <w:color w:val="548DD4" w:themeColor="text2" w:themeTint="99"/>
          <w:lang w:eastAsia="en-GB"/>
        </w:rPr>
        <w:t>R</w:t>
      </w:r>
      <w:r w:rsidRPr="002A2849">
        <w:rPr>
          <w:b/>
          <w:lang w:eastAsia="en-GB"/>
        </w:rPr>
        <w:t xml:space="preserve">EVIEW </w:t>
      </w:r>
    </w:p>
    <w:p w14:paraId="7076E62D" w14:textId="69FC38E6" w:rsidR="00BE6DD3" w:rsidRPr="00651F62" w:rsidRDefault="00651F62" w:rsidP="002A2849">
      <w:pPr>
        <w:pStyle w:val="LD-Normal"/>
        <w:rPr>
          <w:b/>
          <w:szCs w:val="24"/>
          <w:lang w:eastAsia="en-GB"/>
        </w:rPr>
      </w:pPr>
      <w:r w:rsidRPr="00651F62">
        <w:rPr>
          <w:rFonts w:eastAsia="Times New Roman" w:cs="Times New Roman"/>
          <w:color w:val="000000"/>
          <w:szCs w:val="24"/>
          <w:lang w:eastAsia="en-GB"/>
        </w:rPr>
        <w:t>Finally this is about closing the session, reinforcing ground covered, decisions made and value added. As a supervisor you are also encouraging feedback from your supervisee on what was helpful about the supervision process or session, what was difficult and what they would might be helpful in future sessions.</w:t>
      </w:r>
    </w:p>
    <w:sectPr w:rsidR="00BE6DD3" w:rsidRPr="00651F62" w:rsidSect="009604B4">
      <w:headerReference w:type="default" r:id="rId7"/>
      <w:footerReference w:type="default" r:id="rId8"/>
      <w:pgSz w:w="11906" w:h="16838"/>
      <w:pgMar w:top="1152"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1433" w14:textId="77777777" w:rsidR="009604B4" w:rsidRDefault="009604B4" w:rsidP="009604B4">
      <w:r>
        <w:separator/>
      </w:r>
    </w:p>
  </w:endnote>
  <w:endnote w:type="continuationSeparator" w:id="0">
    <w:p w14:paraId="0FF61434" w14:textId="77777777" w:rsidR="009604B4" w:rsidRDefault="009604B4" w:rsidP="009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72"/>
      <w:gridCol w:w="3273"/>
      <w:gridCol w:w="3273"/>
    </w:tblGrid>
    <w:tr w:rsidR="009604B4" w:rsidRPr="009604B4" w14:paraId="0FF6143D" w14:textId="77777777" w:rsidTr="009604B4">
      <w:tc>
        <w:tcPr>
          <w:tcW w:w="3272" w:type="dxa"/>
        </w:tcPr>
        <w:p w14:paraId="0FF6143A" w14:textId="0EA5A123" w:rsidR="009604B4" w:rsidRPr="009604B4" w:rsidRDefault="009604B4">
          <w:pPr>
            <w:pStyle w:val="Footer"/>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0FF61443" wp14:editId="0FF61444">
                    <wp:simplePos x="0" y="0"/>
                    <wp:positionH relativeFrom="column">
                      <wp:posOffset>-731520</wp:posOffset>
                    </wp:positionH>
                    <wp:positionV relativeFrom="paragraph">
                      <wp:posOffset>-17145</wp:posOffset>
                    </wp:positionV>
                    <wp:extent cx="7572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a:ln w="381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CE171"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6pt,-1.35pt" to="53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" strokecolor="#008264" strokeweight="3pt"/>
                </w:pict>
              </mc:Fallback>
            </mc:AlternateContent>
          </w:r>
          <w:r w:rsidR="007536FF">
            <w:rPr>
              <w:sz w:val="16"/>
              <w:szCs w:val="16"/>
            </w:rPr>
            <w:t xml:space="preserve">(Version </w:t>
          </w:r>
          <w:r w:rsidR="007D712B">
            <w:rPr>
              <w:sz w:val="16"/>
              <w:szCs w:val="16"/>
            </w:rPr>
            <w:t>01 – 06</w:t>
          </w:r>
          <w:r w:rsidRPr="009604B4">
            <w:rPr>
              <w:sz w:val="16"/>
              <w:szCs w:val="16"/>
            </w:rPr>
            <w:t>/201</w:t>
          </w:r>
          <w:r w:rsidR="00840243">
            <w:rPr>
              <w:sz w:val="16"/>
              <w:szCs w:val="16"/>
            </w:rPr>
            <w:t>8</w:t>
          </w:r>
          <w:r w:rsidRPr="009604B4">
            <w:rPr>
              <w:sz w:val="16"/>
              <w:szCs w:val="16"/>
            </w:rPr>
            <w:t>)</w:t>
          </w:r>
        </w:p>
      </w:tc>
      <w:tc>
        <w:tcPr>
          <w:tcW w:w="3273" w:type="dxa"/>
        </w:tcPr>
        <w:sdt>
          <w:sdtPr>
            <w:id w:val="-1669238322"/>
            <w:docPartObj>
              <w:docPartGallery w:val="Page Numbers (Top of Page)"/>
              <w:docPartUnique/>
            </w:docPartObj>
          </w:sdtPr>
          <w:sdtEndPr/>
          <w:sdtContent>
            <w:p w14:paraId="0FF6143B" w14:textId="77777777" w:rsidR="009604B4" w:rsidRPr="009604B4" w:rsidRDefault="009604B4" w:rsidP="009604B4">
              <w:pPr>
                <w:pStyle w:val="Footer"/>
                <w:jc w:val="center"/>
                <w:rPr>
                  <w:rFonts w:ascii="Verdana" w:hAnsi="Verdana"/>
                </w:rPr>
              </w:pPr>
              <w:r w:rsidRPr="009604B4">
                <w:t xml:space="preserve">Page </w:t>
              </w:r>
              <w:r w:rsidRPr="009604B4">
                <w:rPr>
                  <w:bCs/>
                </w:rPr>
                <w:fldChar w:fldCharType="begin"/>
              </w:r>
              <w:r w:rsidRPr="009604B4">
                <w:rPr>
                  <w:bCs/>
                </w:rPr>
                <w:instrText xml:space="preserve"> PAGE </w:instrText>
              </w:r>
              <w:r w:rsidRPr="009604B4">
                <w:rPr>
                  <w:bCs/>
                </w:rPr>
                <w:fldChar w:fldCharType="separate"/>
              </w:r>
              <w:r w:rsidR="00DF29AF">
                <w:rPr>
                  <w:bCs/>
                  <w:noProof/>
                </w:rPr>
                <w:t>1</w:t>
              </w:r>
              <w:r w:rsidRPr="009604B4">
                <w:rPr>
                  <w:bCs/>
                </w:rPr>
                <w:fldChar w:fldCharType="end"/>
              </w:r>
              <w:r w:rsidRPr="009604B4">
                <w:t xml:space="preserve"> of </w:t>
              </w:r>
              <w:r w:rsidRPr="009604B4">
                <w:rPr>
                  <w:bCs/>
                </w:rPr>
                <w:fldChar w:fldCharType="begin"/>
              </w:r>
              <w:r w:rsidRPr="009604B4">
                <w:rPr>
                  <w:bCs/>
                </w:rPr>
                <w:instrText xml:space="preserve"> NUMPAGES  </w:instrText>
              </w:r>
              <w:r w:rsidRPr="009604B4">
                <w:rPr>
                  <w:bCs/>
                </w:rPr>
                <w:fldChar w:fldCharType="separate"/>
              </w:r>
              <w:r w:rsidR="00DF29AF">
                <w:rPr>
                  <w:bCs/>
                  <w:noProof/>
                </w:rPr>
                <w:t>1</w:t>
              </w:r>
              <w:r w:rsidRPr="009604B4">
                <w:rPr>
                  <w:bCs/>
                </w:rPr>
                <w:fldChar w:fldCharType="end"/>
              </w:r>
            </w:p>
          </w:sdtContent>
        </w:sdt>
      </w:tc>
      <w:tc>
        <w:tcPr>
          <w:tcW w:w="3273" w:type="dxa"/>
        </w:tcPr>
        <w:p w14:paraId="0FF6143C" w14:textId="77777777" w:rsidR="009604B4" w:rsidRPr="009604B4" w:rsidRDefault="009604B4">
          <w:pPr>
            <w:pStyle w:val="Footer"/>
          </w:pPr>
        </w:p>
      </w:tc>
    </w:tr>
  </w:tbl>
  <w:p w14:paraId="0FF6143E" w14:textId="77777777" w:rsidR="009604B4" w:rsidRDefault="00960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1431" w14:textId="77777777" w:rsidR="009604B4" w:rsidRDefault="009604B4" w:rsidP="009604B4">
      <w:r>
        <w:separator/>
      </w:r>
    </w:p>
  </w:footnote>
  <w:footnote w:type="continuationSeparator" w:id="0">
    <w:p w14:paraId="0FF61432" w14:textId="77777777" w:rsidR="009604B4" w:rsidRDefault="009604B4" w:rsidP="0096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18"/>
    </w:tblGrid>
    <w:tr w:rsidR="009604B4" w14:paraId="0FF61437" w14:textId="77777777" w:rsidTr="009604B4">
      <w:tc>
        <w:tcPr>
          <w:tcW w:w="9818" w:type="dxa"/>
        </w:tcPr>
        <w:p w14:paraId="0FF61436" w14:textId="2EB2CDCD" w:rsidR="009604B4" w:rsidRDefault="007536FF" w:rsidP="00367A93">
          <w:pPr>
            <w:pStyle w:val="Header"/>
            <w:tabs>
              <w:tab w:val="clear" w:pos="4513"/>
              <w:tab w:val="clear" w:pos="9026"/>
              <w:tab w:val="center" w:pos="4801"/>
            </w:tabs>
            <w:jc w:val="right"/>
          </w:pPr>
          <w:r>
            <w:t xml:space="preserve">Supervision Skills for Managers and Supervisors in </w:t>
          </w:r>
          <w:r w:rsidR="002A2849">
            <w:t>Adult Social Care</w:t>
          </w:r>
        </w:p>
      </w:tc>
    </w:tr>
  </w:tbl>
  <w:p w14:paraId="0FF61438" w14:textId="77777777" w:rsidR="009604B4" w:rsidRDefault="009604B4" w:rsidP="009604B4">
    <w:pPr>
      <w:pStyle w:val="Header"/>
      <w:tabs>
        <w:tab w:val="clear" w:pos="4513"/>
        <w:tab w:val="clear" w:pos="9026"/>
        <w:tab w:val="center" w:pos="4801"/>
      </w:tabs>
    </w:pPr>
    <w:r>
      <w:rPr>
        <w:noProof/>
        <w:lang w:eastAsia="en-GB"/>
      </w:rPr>
      <mc:AlternateContent>
        <mc:Choice Requires="wps">
          <w:drawing>
            <wp:anchor distT="0" distB="0" distL="114300" distR="114300" simplePos="0" relativeHeight="251661312" behindDoc="0" locked="0" layoutInCell="1" allowOverlap="1" wp14:anchorId="0FF61441" wp14:editId="0FF61442">
              <wp:simplePos x="0" y="0"/>
              <wp:positionH relativeFrom="column">
                <wp:posOffset>-731520</wp:posOffset>
              </wp:positionH>
              <wp:positionV relativeFrom="paragraph">
                <wp:posOffset>37465</wp:posOffset>
              </wp:positionV>
              <wp:extent cx="7572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572375" cy="0"/>
                      </a:xfrm>
                      <a:prstGeom prst="line">
                        <a:avLst/>
                      </a:prstGeom>
                      <a:ln w="254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555F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pt,2.95pt" to="53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" strokecolor="#008264"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4"/>
    <w:rsid w:val="002A2849"/>
    <w:rsid w:val="002F062A"/>
    <w:rsid w:val="00354529"/>
    <w:rsid w:val="00367A93"/>
    <w:rsid w:val="003E7667"/>
    <w:rsid w:val="00651F62"/>
    <w:rsid w:val="007351C9"/>
    <w:rsid w:val="007536FF"/>
    <w:rsid w:val="007D712B"/>
    <w:rsid w:val="00840243"/>
    <w:rsid w:val="009604B4"/>
    <w:rsid w:val="0099319F"/>
    <w:rsid w:val="00BE6DD3"/>
    <w:rsid w:val="00C462B9"/>
    <w:rsid w:val="00CD0429"/>
    <w:rsid w:val="00DF29A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F61430"/>
  <w15:docId w15:val="{E043EB04-5A7E-46C2-9A77-BE12118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paragraph" w:styleId="BalloonText">
    <w:name w:val="Balloon Text"/>
    <w:basedOn w:val="Normal"/>
    <w:link w:val="BalloonTextChar"/>
    <w:uiPriority w:val="99"/>
    <w:semiHidden/>
    <w:unhideWhenUsed/>
    <w:rsid w:val="002A2849"/>
    <w:rPr>
      <w:rFonts w:ascii="Tahoma" w:hAnsi="Tahoma" w:cs="Tahoma"/>
      <w:sz w:val="16"/>
      <w:szCs w:val="16"/>
    </w:rPr>
  </w:style>
  <w:style w:type="character" w:customStyle="1" w:styleId="BalloonTextChar">
    <w:name w:val="Balloon Text Char"/>
    <w:basedOn w:val="DefaultParagraphFont"/>
    <w:link w:val="BalloonText"/>
    <w:uiPriority w:val="99"/>
    <w:semiHidden/>
    <w:rsid w:val="002A2849"/>
    <w:rPr>
      <w:rFonts w:ascii="Tahoma" w:hAnsi="Tahoma" w:cs="Tahoma"/>
      <w:sz w:val="16"/>
      <w:szCs w:val="16"/>
    </w:rPr>
  </w:style>
  <w:style w:type="paragraph" w:styleId="NormalWeb">
    <w:name w:val="Normal (Web)"/>
    <w:basedOn w:val="Normal"/>
    <w:uiPriority w:val="99"/>
    <w:semiHidden/>
    <w:unhideWhenUsed/>
    <w:rsid w:val="00DF29AF"/>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Appleyard</dc:creator>
  <cp:lastModifiedBy>PC Installer2</cp:lastModifiedBy>
  <cp:revision>6</cp:revision>
  <cp:lastPrinted>2018-06-20T10:02:00Z</cp:lastPrinted>
  <dcterms:created xsi:type="dcterms:W3CDTF">2018-06-19T14:16:00Z</dcterms:created>
  <dcterms:modified xsi:type="dcterms:W3CDTF">2019-02-21T09:49:00Z</dcterms:modified>
</cp:coreProperties>
</file>